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B6D1A" w14:textId="77777777" w:rsidR="000964B5" w:rsidRPr="00137CC9" w:rsidRDefault="000964B5" w:rsidP="000964B5">
      <w:pPr>
        <w:widowControl w:val="0"/>
        <w:spacing w:after="0" w:line="240" w:lineRule="auto"/>
        <w:jc w:val="both"/>
        <w:rPr>
          <w:b/>
          <w:bCs/>
        </w:rPr>
      </w:pPr>
      <w:r w:rsidRPr="00137CC9">
        <w:rPr>
          <w:b/>
          <w:bCs/>
        </w:rPr>
        <w:t>¿Desde qué fecha se registró la retención de carrotanques en la ruta fronteriza con Ecuador?</w:t>
      </w:r>
    </w:p>
    <w:p w14:paraId="67056ED6" w14:textId="77777777" w:rsidR="000964B5" w:rsidRDefault="000964B5" w:rsidP="000964B5">
      <w:pPr>
        <w:widowControl w:val="0"/>
        <w:spacing w:after="0" w:line="240" w:lineRule="auto"/>
        <w:jc w:val="both"/>
      </w:pPr>
    </w:p>
    <w:p w14:paraId="62BB532E" w14:textId="77777777" w:rsidR="004B5583" w:rsidRDefault="000964B5" w:rsidP="000964B5">
      <w:pPr>
        <w:widowControl w:val="0"/>
        <w:spacing w:after="0" w:line="240" w:lineRule="auto"/>
        <w:jc w:val="both"/>
      </w:pPr>
      <w:r>
        <w:t>El c</w:t>
      </w:r>
      <w:r w:rsidRPr="000964B5">
        <w:t>ierre del</w:t>
      </w:r>
      <w:r>
        <w:t xml:space="preserve"> paso fronterizo a través del p</w:t>
      </w:r>
      <w:r w:rsidRPr="000964B5">
        <w:t>uente Internacional</w:t>
      </w:r>
      <w:r>
        <w:t xml:space="preserve"> San Miguel inicio el </w:t>
      </w:r>
      <w:r w:rsidRPr="000964B5">
        <w:t xml:space="preserve">24 de diciembre de </w:t>
      </w:r>
      <w:r w:rsidR="009119D7" w:rsidRPr="000964B5">
        <w:t>2025</w:t>
      </w:r>
      <w:r w:rsidR="009119D7">
        <w:t xml:space="preserve">. </w:t>
      </w:r>
    </w:p>
    <w:p w14:paraId="2227327F" w14:textId="77777777" w:rsidR="004B5583" w:rsidRDefault="004B5583" w:rsidP="000964B5">
      <w:pPr>
        <w:widowControl w:val="0"/>
        <w:spacing w:after="0" w:line="240" w:lineRule="auto"/>
        <w:jc w:val="both"/>
      </w:pPr>
    </w:p>
    <w:p w14:paraId="6C1BCF5F" w14:textId="374E4022" w:rsidR="004B5583" w:rsidRPr="004B5583" w:rsidRDefault="009119D7" w:rsidP="004B5583">
      <w:pPr>
        <w:widowControl w:val="0"/>
        <w:spacing w:after="0" w:line="240" w:lineRule="auto"/>
        <w:jc w:val="both"/>
        <w:rPr>
          <w:i/>
          <w:iCs/>
          <w:sz w:val="22"/>
          <w:szCs w:val="22"/>
        </w:rPr>
      </w:pPr>
      <w:r>
        <w:t xml:space="preserve">Esta decisión fue comunicada al gobierno colombiano mediante nota verbal MREMH/MREMH/2025/0020/N del 24 de diciembre del 2025, emitida por el Ministerio de Relaciones Exteriores y Movilidad Humana de la Republica de Ecuador, </w:t>
      </w:r>
      <w:r w:rsidR="004B5583">
        <w:t xml:space="preserve">con la cual se indicó que: </w:t>
      </w:r>
      <w:r w:rsidR="004B5583" w:rsidRPr="004B5583">
        <w:rPr>
          <w:i/>
          <w:iCs/>
          <w:sz w:val="22"/>
          <w:szCs w:val="22"/>
        </w:rPr>
        <w:t>“(…) en atención a decisiones adoptadas por las autoridades competentes del Estado ecuatoriano y considerando razones de seguridad. a partir del 24 de diciembre de 2025 se mantendrá habilitado únicamente el paso internacional ubicado en Rumichaca, en la frontera ecuatoriano-colombiana. como único paso internacional entre ambos países.</w:t>
      </w:r>
      <w:r w:rsidR="004B5583">
        <w:rPr>
          <w:i/>
          <w:iCs/>
          <w:sz w:val="22"/>
          <w:szCs w:val="22"/>
        </w:rPr>
        <w:t>”</w:t>
      </w:r>
    </w:p>
    <w:p w14:paraId="3607C9CA" w14:textId="77777777" w:rsidR="009119D7" w:rsidRDefault="009119D7" w:rsidP="000964B5">
      <w:pPr>
        <w:widowControl w:val="0"/>
        <w:spacing w:after="0" w:line="240" w:lineRule="auto"/>
        <w:jc w:val="both"/>
      </w:pPr>
    </w:p>
    <w:p w14:paraId="2C8B6C2C" w14:textId="77777777" w:rsidR="00D73BEA" w:rsidRDefault="009119D7" w:rsidP="000964B5">
      <w:pPr>
        <w:widowControl w:val="0"/>
        <w:spacing w:after="0" w:line="240" w:lineRule="auto"/>
        <w:jc w:val="both"/>
        <w:rPr>
          <w:lang w:val="es-ES"/>
        </w:rPr>
      </w:pPr>
      <w:r>
        <w:t xml:space="preserve">Posteriormente, mediante </w:t>
      </w:r>
      <w:r w:rsidRPr="009119D7">
        <w:rPr>
          <w:lang w:val="es-ES"/>
        </w:rPr>
        <w:t>nota verbal</w:t>
      </w:r>
      <w:r>
        <w:rPr>
          <w:lang w:val="es-ES"/>
        </w:rPr>
        <w:t xml:space="preserve"> del </w:t>
      </w:r>
      <w:r w:rsidRPr="009119D7">
        <w:rPr>
          <w:lang w:val="es-ES"/>
        </w:rPr>
        <w:t xml:space="preserve">01 de enero de 2026, </w:t>
      </w:r>
      <w:r>
        <w:t>el Ministerio de Relaciones Exteriores y Movilidad Humana de la Republica de Ecuador</w:t>
      </w:r>
      <w:r>
        <w:rPr>
          <w:lang w:val="es-ES"/>
        </w:rPr>
        <w:t>, inform</w:t>
      </w:r>
      <w:r w:rsidR="004B5583">
        <w:rPr>
          <w:lang w:val="es-ES"/>
        </w:rPr>
        <w:t>ó</w:t>
      </w:r>
      <w:r>
        <w:rPr>
          <w:lang w:val="es-ES"/>
        </w:rPr>
        <w:t xml:space="preserve"> al gobierno </w:t>
      </w:r>
      <w:r w:rsidR="00326FAD">
        <w:rPr>
          <w:lang w:val="es-ES"/>
        </w:rPr>
        <w:t>colombiano</w:t>
      </w:r>
      <w:r>
        <w:rPr>
          <w:lang w:val="es-ES"/>
        </w:rPr>
        <w:t xml:space="preserve"> que </w:t>
      </w:r>
      <w:r w:rsidR="004B5583">
        <w:rPr>
          <w:lang w:val="es-ES"/>
        </w:rPr>
        <w:t xml:space="preserve">se </w:t>
      </w:r>
      <w:r w:rsidR="003F2B72">
        <w:rPr>
          <w:lang w:val="es-ES"/>
        </w:rPr>
        <w:t>p</w:t>
      </w:r>
      <w:r w:rsidR="003F2B72" w:rsidRPr="004B5583">
        <w:rPr>
          <w:lang w:val="es-ES"/>
        </w:rPr>
        <w:t>ermit</w:t>
      </w:r>
      <w:r w:rsidR="003F2B72">
        <w:rPr>
          <w:lang w:val="es-ES"/>
        </w:rPr>
        <w:t>ía</w:t>
      </w:r>
      <w:r w:rsidR="004B5583" w:rsidRPr="004B5583">
        <w:rPr>
          <w:lang w:val="es-ES"/>
        </w:rPr>
        <w:t xml:space="preserve"> que San Miguel sirv</w:t>
      </w:r>
      <w:r w:rsidR="004B5583">
        <w:rPr>
          <w:lang w:val="es-ES"/>
        </w:rPr>
        <w:t>iera</w:t>
      </w:r>
      <w:r w:rsidR="004B5583" w:rsidRPr="004B5583">
        <w:rPr>
          <w:lang w:val="es-ES"/>
        </w:rPr>
        <w:t xml:space="preserve"> de paso fronterizo únicamente para el transporte de crudo colombiano, siempre y cuando el servicio sea prestado por personas y vehículos autorizados por Ecuador</w:t>
      </w:r>
      <w:r w:rsidR="004B5583">
        <w:rPr>
          <w:lang w:val="es-ES"/>
        </w:rPr>
        <w:t xml:space="preserve">. </w:t>
      </w:r>
      <w:r w:rsidR="00BE239D">
        <w:rPr>
          <w:lang w:val="es-ES"/>
        </w:rPr>
        <w:t xml:space="preserve"> </w:t>
      </w:r>
    </w:p>
    <w:p w14:paraId="4EDA78F9" w14:textId="77777777" w:rsidR="00D73BEA" w:rsidRDefault="00D73BEA" w:rsidP="000964B5">
      <w:pPr>
        <w:widowControl w:val="0"/>
        <w:spacing w:after="0" w:line="240" w:lineRule="auto"/>
        <w:jc w:val="both"/>
        <w:rPr>
          <w:lang w:val="es-ES"/>
        </w:rPr>
      </w:pPr>
    </w:p>
    <w:p w14:paraId="44A325BE" w14:textId="52451F46" w:rsidR="00796E63" w:rsidRDefault="00796E63" w:rsidP="000964B5">
      <w:pPr>
        <w:widowControl w:val="0"/>
        <w:spacing w:after="0" w:line="240" w:lineRule="auto"/>
        <w:jc w:val="both"/>
        <w:rPr>
          <w:lang w:val="es-ES"/>
        </w:rPr>
      </w:pPr>
      <w:r>
        <w:rPr>
          <w:lang w:val="es-ES"/>
        </w:rPr>
        <w:t xml:space="preserve">Se </w:t>
      </w:r>
      <w:r w:rsidR="009A3E9A">
        <w:rPr>
          <w:lang w:val="es-ES"/>
        </w:rPr>
        <w:t xml:space="preserve">aclara que el </w:t>
      </w:r>
      <w:r w:rsidR="00326FAD">
        <w:rPr>
          <w:lang w:val="es-ES"/>
        </w:rPr>
        <w:t>transporte</w:t>
      </w:r>
      <w:r w:rsidR="005C368F">
        <w:rPr>
          <w:lang w:val="es-ES"/>
        </w:rPr>
        <w:t xml:space="preserve"> de </w:t>
      </w:r>
      <w:r w:rsidR="00326FAD">
        <w:rPr>
          <w:lang w:val="es-ES"/>
        </w:rPr>
        <w:t>hidrocarburos</w:t>
      </w:r>
      <w:r w:rsidR="005C368F">
        <w:rPr>
          <w:lang w:val="es-ES"/>
        </w:rPr>
        <w:t xml:space="preserve"> </w:t>
      </w:r>
      <w:r w:rsidR="005C2D87">
        <w:rPr>
          <w:lang w:val="es-ES"/>
        </w:rPr>
        <w:t xml:space="preserve">por el paso </w:t>
      </w:r>
      <w:r w:rsidR="00125F77">
        <w:rPr>
          <w:lang w:val="es-ES"/>
        </w:rPr>
        <w:t>fronterizo tenía</w:t>
      </w:r>
      <w:r w:rsidR="005C368F">
        <w:rPr>
          <w:lang w:val="es-ES"/>
        </w:rPr>
        <w:t xml:space="preserve"> como destino las instalaciones de</w:t>
      </w:r>
      <w:r w:rsidR="00326FAD">
        <w:rPr>
          <w:lang w:val="es-ES"/>
        </w:rPr>
        <w:t xml:space="preserve">l Oleoducto de San Miguel y Lago Agrio </w:t>
      </w:r>
      <w:r w:rsidR="005C2D87">
        <w:rPr>
          <w:lang w:val="es-ES"/>
        </w:rPr>
        <w:t xml:space="preserve">(OSLA) </w:t>
      </w:r>
      <w:r w:rsidR="00326FAD">
        <w:rPr>
          <w:lang w:val="es-ES"/>
        </w:rPr>
        <w:t xml:space="preserve">y </w:t>
      </w:r>
      <w:r w:rsidR="005C2D87">
        <w:rPr>
          <w:lang w:val="es-ES"/>
        </w:rPr>
        <w:t xml:space="preserve">el </w:t>
      </w:r>
      <w:r w:rsidR="00326FAD" w:rsidRPr="00326FAD">
        <w:rPr>
          <w:lang w:val="es-ES"/>
        </w:rPr>
        <w:t>Sistema de Oleoducto Transecuatoriano (SOTE)</w:t>
      </w:r>
      <w:r w:rsidR="00E77497">
        <w:rPr>
          <w:lang w:val="es-ES"/>
        </w:rPr>
        <w:t>.</w:t>
      </w:r>
    </w:p>
    <w:p w14:paraId="4F004443" w14:textId="77777777" w:rsidR="000964B5" w:rsidRDefault="000964B5" w:rsidP="000964B5">
      <w:pPr>
        <w:widowControl w:val="0"/>
        <w:spacing w:after="0" w:line="240" w:lineRule="auto"/>
        <w:jc w:val="both"/>
      </w:pPr>
    </w:p>
    <w:p w14:paraId="0EC6DC99" w14:textId="2E521948" w:rsidR="00E24A8F" w:rsidRDefault="00E24A8F" w:rsidP="00E24A8F">
      <w:pPr>
        <w:widowControl w:val="0"/>
        <w:spacing w:after="0" w:line="240" w:lineRule="auto"/>
        <w:jc w:val="both"/>
      </w:pPr>
      <w:r>
        <w:t xml:space="preserve">Al respecto, es necesario precisar que </w:t>
      </w:r>
      <w:r w:rsidR="000A4461">
        <w:t>la</w:t>
      </w:r>
      <w:r>
        <w:t xml:space="preserve"> última alternativa </w:t>
      </w:r>
      <w:r w:rsidR="000A4461">
        <w:t xml:space="preserve">ofrecida por Ecuador </w:t>
      </w:r>
      <w:r>
        <w:t xml:space="preserve">resultaba inviable </w:t>
      </w:r>
      <w:r w:rsidR="004A5BEC">
        <w:t xml:space="preserve">para </w:t>
      </w:r>
      <w:r w:rsidR="00BE239D">
        <w:t xml:space="preserve">los operadores, especialmente </w:t>
      </w:r>
      <w:r w:rsidR="004A5BEC" w:rsidRPr="004A5BEC">
        <w:t>Ecopetrol</w:t>
      </w:r>
      <w:r w:rsidR="001024F3">
        <w:t xml:space="preserve"> </w:t>
      </w:r>
      <w:r>
        <w:t>y</w:t>
      </w:r>
      <w:r w:rsidR="001024F3">
        <w:t>,</w:t>
      </w:r>
      <w:r>
        <w:t xml:space="preserve"> en consecuencia, fue descartada</w:t>
      </w:r>
      <w:r w:rsidR="001024F3">
        <w:t xml:space="preserve"> como opci</w:t>
      </w:r>
      <w:r w:rsidR="00566D1B">
        <w:t xml:space="preserve">ón para evacuar </w:t>
      </w:r>
      <w:r w:rsidR="007217FD">
        <w:t>el</w:t>
      </w:r>
      <w:r w:rsidR="00884650">
        <w:t xml:space="preserve"> crudo</w:t>
      </w:r>
      <w:r w:rsidR="009A18B8">
        <w:t>,</w:t>
      </w:r>
      <w:r w:rsidR="00884650">
        <w:t xml:space="preserve"> pues </w:t>
      </w:r>
      <w:r>
        <w:t xml:space="preserve">el tránsito de </w:t>
      </w:r>
      <w:r w:rsidR="000E316F">
        <w:t xml:space="preserve">sus </w:t>
      </w:r>
      <w:r>
        <w:t xml:space="preserve">carrotanques a través del paso fronterizo tenía como </w:t>
      </w:r>
      <w:r w:rsidR="00D3017F">
        <w:t xml:space="preserve">principal </w:t>
      </w:r>
      <w:r>
        <w:t>destino el Sistema de Oleoducto Transecuatoriano (SOTE), infraestructura en la cual el crudo era inyectado para su transporte hasta el terminal marítimo de Esmeraldas, en el Pacífico ecuatoriano, desde donde posteriormente era exportado hacia mercados internacionales, principalmente en Asia.</w:t>
      </w:r>
    </w:p>
    <w:p w14:paraId="7E09A255" w14:textId="77777777" w:rsidR="00E24A8F" w:rsidRDefault="00E24A8F" w:rsidP="00E24A8F">
      <w:pPr>
        <w:widowControl w:val="0"/>
        <w:spacing w:after="0" w:line="240" w:lineRule="auto"/>
        <w:jc w:val="both"/>
      </w:pPr>
    </w:p>
    <w:p w14:paraId="52A5A564" w14:textId="6CD59E03" w:rsidR="00E24A8F" w:rsidRDefault="00E24A8F" w:rsidP="00E24A8F">
      <w:pPr>
        <w:widowControl w:val="0"/>
        <w:spacing w:after="0" w:line="240" w:lineRule="auto"/>
        <w:jc w:val="both"/>
      </w:pPr>
      <w:r>
        <w:t>No obstante, dicha dinámica operativa se vio interrumpida debido a que la Agencia de Regulación y Control de Hidrocarburos de la República del Ecuador expidió la Resolución No. ARCH-2026-005-RES del 23 de enero de 2026, mediante la cual se dispuso que, a partir de esa misma fecha, la tarifa básica de transporte por el Oleoducto Transecuatoriano (SOTE)</w:t>
      </w:r>
      <w:r w:rsidR="00552173">
        <w:t xml:space="preserve">, </w:t>
      </w:r>
      <w:r>
        <w:t>aplicable a usuarios extranjeros</w:t>
      </w:r>
      <w:r w:rsidR="00552173">
        <w:t>,</w:t>
      </w:r>
      <w:r>
        <w:t xml:space="preserve"> se incrementaría a 30,771700 dólares de los Estados Unidos de América por barril de crudo transportado.</w:t>
      </w:r>
    </w:p>
    <w:p w14:paraId="37C6D9C0" w14:textId="77777777" w:rsidR="00E24A8F" w:rsidRDefault="00E24A8F" w:rsidP="00E24A8F">
      <w:pPr>
        <w:widowControl w:val="0"/>
        <w:spacing w:after="0" w:line="240" w:lineRule="auto"/>
        <w:jc w:val="both"/>
      </w:pPr>
    </w:p>
    <w:p w14:paraId="629C6E38" w14:textId="78537D11" w:rsidR="00E24A8F" w:rsidRDefault="00E24A8F" w:rsidP="00E24A8F">
      <w:pPr>
        <w:widowControl w:val="0"/>
        <w:spacing w:after="0" w:line="240" w:lineRule="auto"/>
        <w:jc w:val="both"/>
      </w:pPr>
      <w:r>
        <w:t>Cabe precisar que esta decisión implicó un incremento aproximado de</w:t>
      </w:r>
      <w:r w:rsidR="00C57E3C">
        <w:t xml:space="preserve"> </w:t>
      </w:r>
      <w:r>
        <w:t>900 %</w:t>
      </w:r>
      <w:r w:rsidR="00C57E3C">
        <w:t>,</w:t>
      </w:r>
      <w:r>
        <w:t xml:space="preserve"> en la tarifa del servicio de transporte</w:t>
      </w:r>
      <w:r w:rsidR="00831D77">
        <w:t xml:space="preserve"> para los usuarios colombianos del SOTE</w:t>
      </w:r>
      <w:r>
        <w:t>,</w:t>
      </w:r>
      <w:r w:rsidR="005D5D45">
        <w:t xml:space="preserve"> específicamente </w:t>
      </w:r>
      <w:r w:rsidR="00AC7D6E">
        <w:t>Ecopetrol, toda</w:t>
      </w:r>
      <w:r>
        <w:t xml:space="preserve"> vez que, con anterioridad a la expedición de dicha </w:t>
      </w:r>
      <w:r>
        <w:lastRenderedPageBreak/>
        <w:t>resolución, el valor del transporte por barril ascendía a aproximadamente 2,50 dólares de los Estados Unidos de América.</w:t>
      </w:r>
    </w:p>
    <w:p w14:paraId="263D4186" w14:textId="77777777" w:rsidR="00E24A8F" w:rsidRDefault="00E24A8F" w:rsidP="00E24A8F">
      <w:pPr>
        <w:widowControl w:val="0"/>
        <w:spacing w:after="0" w:line="240" w:lineRule="auto"/>
        <w:jc w:val="both"/>
      </w:pPr>
    </w:p>
    <w:p w14:paraId="10FE51B7" w14:textId="6AF6141B" w:rsidR="00E6595C" w:rsidRDefault="00C57E3C" w:rsidP="00E24A8F">
      <w:pPr>
        <w:widowControl w:val="0"/>
        <w:spacing w:after="0" w:line="240" w:lineRule="auto"/>
        <w:jc w:val="both"/>
      </w:pPr>
      <w:r>
        <w:t>Esta</w:t>
      </w:r>
      <w:r w:rsidR="00E24A8F">
        <w:t xml:space="preserve"> decisión de incremento tarifario adoptada por la Agencia de Regulación y Control de Hidrocarburos del Ecuador fue comunicada a </w:t>
      </w:r>
      <w:r w:rsidR="005D5D45">
        <w:t xml:space="preserve">todos </w:t>
      </w:r>
      <w:r w:rsidR="00E768A9">
        <w:t xml:space="preserve">los operadores </w:t>
      </w:r>
      <w:r w:rsidR="007251BA">
        <w:t>colombianos</w:t>
      </w:r>
      <w:r w:rsidR="00E24A8F">
        <w:t xml:space="preserve"> por parte de EP PETROECUADOR, empresa pública encargada de la administración del SOTE, tal </w:t>
      </w:r>
      <w:r w:rsidR="007251BA">
        <w:t xml:space="preserve">y </w:t>
      </w:r>
      <w:r w:rsidR="00E24A8F">
        <w:t>como se evidencia en el comunicado que se relaciona a continuación:</w:t>
      </w:r>
    </w:p>
    <w:p w14:paraId="08E12132" w14:textId="77777777" w:rsidR="009D261F" w:rsidRDefault="009D261F" w:rsidP="000964B5">
      <w:pPr>
        <w:widowControl w:val="0"/>
        <w:spacing w:after="0" w:line="240" w:lineRule="auto"/>
        <w:jc w:val="both"/>
      </w:pPr>
    </w:p>
    <w:p w14:paraId="3F064E0F" w14:textId="3EEC7450" w:rsidR="009D261F" w:rsidRDefault="009510C3" w:rsidP="009510C3">
      <w:pPr>
        <w:widowControl w:val="0"/>
        <w:spacing w:after="0" w:line="240" w:lineRule="auto"/>
        <w:jc w:val="center"/>
      </w:pPr>
      <w:r w:rsidRPr="009510C3">
        <w:drawing>
          <wp:inline distT="0" distB="0" distL="0" distR="0" wp14:anchorId="1036F0F0" wp14:editId="1EC2DC9E">
            <wp:extent cx="3451911" cy="5189038"/>
            <wp:effectExtent l="0" t="0" r="0" b="0"/>
            <wp:docPr id="68381194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811940" name=""/>
                    <pic:cNvPicPr/>
                  </pic:nvPicPr>
                  <pic:blipFill>
                    <a:blip r:embed="rId7"/>
                    <a:stretch>
                      <a:fillRect/>
                    </a:stretch>
                  </pic:blipFill>
                  <pic:spPr>
                    <a:xfrm>
                      <a:off x="0" y="0"/>
                      <a:ext cx="3455284" cy="5194108"/>
                    </a:xfrm>
                    <a:prstGeom prst="rect">
                      <a:avLst/>
                    </a:prstGeom>
                  </pic:spPr>
                </pic:pic>
              </a:graphicData>
            </a:graphic>
          </wp:inline>
        </w:drawing>
      </w:r>
    </w:p>
    <w:p w14:paraId="4CA8CC41" w14:textId="77777777" w:rsidR="00C749C3" w:rsidRDefault="00C749C3" w:rsidP="000964B5">
      <w:pPr>
        <w:widowControl w:val="0"/>
        <w:spacing w:after="0" w:line="240" w:lineRule="auto"/>
        <w:jc w:val="both"/>
      </w:pPr>
    </w:p>
    <w:p w14:paraId="0942F465" w14:textId="77777777" w:rsidR="005D5D45" w:rsidRDefault="005D5D45" w:rsidP="000964B5">
      <w:pPr>
        <w:widowControl w:val="0"/>
        <w:spacing w:after="0" w:line="240" w:lineRule="auto"/>
        <w:jc w:val="both"/>
      </w:pPr>
    </w:p>
    <w:p w14:paraId="57DCFBF2" w14:textId="77777777" w:rsidR="005D5D45" w:rsidRDefault="005D5D45" w:rsidP="000964B5">
      <w:pPr>
        <w:widowControl w:val="0"/>
        <w:spacing w:after="0" w:line="240" w:lineRule="auto"/>
        <w:jc w:val="both"/>
      </w:pPr>
    </w:p>
    <w:p w14:paraId="65BA307A" w14:textId="5679F343" w:rsidR="00D378F1" w:rsidRDefault="000964B5" w:rsidP="000964B5">
      <w:pPr>
        <w:widowControl w:val="0"/>
        <w:spacing w:after="0" w:line="240" w:lineRule="auto"/>
        <w:jc w:val="both"/>
        <w:rPr>
          <w:b/>
          <w:bCs/>
        </w:rPr>
      </w:pPr>
      <w:r w:rsidRPr="009510C3">
        <w:rPr>
          <w:b/>
          <w:bCs/>
        </w:rPr>
        <w:t>¿Cuántos carrotanques se han visto afectados por esta situación?</w:t>
      </w:r>
    </w:p>
    <w:p w14:paraId="4D572353" w14:textId="77777777" w:rsidR="00A224D1" w:rsidRDefault="00A224D1" w:rsidP="000964B5">
      <w:pPr>
        <w:widowControl w:val="0"/>
        <w:spacing w:after="0" w:line="240" w:lineRule="auto"/>
        <w:jc w:val="both"/>
        <w:rPr>
          <w:b/>
          <w:bCs/>
        </w:rPr>
      </w:pPr>
    </w:p>
    <w:p w14:paraId="16DA7992" w14:textId="64AF2593" w:rsidR="00A224D1" w:rsidRPr="00A224D1" w:rsidRDefault="00A224D1" w:rsidP="00A369C9">
      <w:pPr>
        <w:widowControl w:val="0"/>
        <w:spacing w:after="0" w:line="240" w:lineRule="auto"/>
        <w:jc w:val="both"/>
      </w:pPr>
      <w:r w:rsidRPr="00A224D1">
        <w:t>De</w:t>
      </w:r>
      <w:r>
        <w:t xml:space="preserve"> </w:t>
      </w:r>
      <w:r w:rsidRPr="00A224D1">
        <w:t>acuerdo con la información allegada por la empres</w:t>
      </w:r>
      <w:r>
        <w:t>a</w:t>
      </w:r>
      <w:r w:rsidRPr="00A224D1">
        <w:t xml:space="preserve"> Gran Tierra Energy</w:t>
      </w:r>
      <w:r>
        <w:t xml:space="preserve">,  </w:t>
      </w:r>
      <w:r w:rsidR="00EA7026">
        <w:t xml:space="preserve">su </w:t>
      </w:r>
      <w:r w:rsidRPr="00A224D1">
        <w:t>operación normal contrata</w:t>
      </w:r>
      <w:r w:rsidR="00100A03">
        <w:t>ba</w:t>
      </w:r>
      <w:r w:rsidRPr="00A224D1">
        <w:t xml:space="preserve"> carrotanques de Colombia y Ecuador para su evacuación de crudo hacia Lago Agrio en Ecuador</w:t>
      </w:r>
      <w:r w:rsidR="00100A03">
        <w:t xml:space="preserve"> pero por </w:t>
      </w:r>
      <w:r w:rsidRPr="00A224D1">
        <w:t>el cierre de</w:t>
      </w:r>
      <w:r w:rsidR="00034BF1">
        <w:t xml:space="preserve">l paso fronterizo </w:t>
      </w:r>
      <w:r w:rsidRPr="00A224D1">
        <w:t xml:space="preserve">se dejaron </w:t>
      </w:r>
      <w:r w:rsidRPr="00A224D1">
        <w:lastRenderedPageBreak/>
        <w:t>de utilizar los carrotanques ecuatorianos y se está utilizando toda la flota de carrotanques disponible de Put</w:t>
      </w:r>
      <w:r w:rsidR="00EA7026">
        <w:t>umayo</w:t>
      </w:r>
      <w:r w:rsidR="00704142">
        <w:t xml:space="preserve"> p</w:t>
      </w:r>
      <w:r w:rsidRPr="00A224D1">
        <w:t xml:space="preserve">ara llevar el crudo a la estación Babillas, en </w:t>
      </w:r>
      <w:r w:rsidR="00704142">
        <w:t xml:space="preserve">el departamento del </w:t>
      </w:r>
      <w:r w:rsidRPr="00A224D1">
        <w:t>Huila</w:t>
      </w:r>
      <w:r w:rsidR="00A369C9">
        <w:t xml:space="preserve">, con el fin de </w:t>
      </w:r>
      <w:r w:rsidR="00704142">
        <w:t>evacuar</w:t>
      </w:r>
      <w:r w:rsidR="00A369C9">
        <w:t xml:space="preserve"> el crudo por el </w:t>
      </w:r>
      <w:r w:rsidR="00704142">
        <w:t>Oleoducto</w:t>
      </w:r>
      <w:r w:rsidR="00A369C9">
        <w:t xml:space="preserve"> de </w:t>
      </w:r>
      <w:r w:rsidR="00704142">
        <w:t>Colombia</w:t>
      </w:r>
      <w:r w:rsidR="00A369C9">
        <w:t xml:space="preserve"> (ODC), que tiene como destino el terminal </w:t>
      </w:r>
      <w:r w:rsidR="00704142">
        <w:t>marítimo</w:t>
      </w:r>
      <w:r w:rsidR="00A369C9">
        <w:t xml:space="preserve"> de Coveñas. </w:t>
      </w:r>
      <w:r w:rsidRPr="00A224D1">
        <w:t>Actualmente se están contratando en ciclo redondo de 3.5 días, 152 carrotanques</w:t>
      </w:r>
      <w:r w:rsidR="00704142">
        <w:t xml:space="preserve">, </w:t>
      </w:r>
      <w:r w:rsidRPr="00A224D1">
        <w:t xml:space="preserve">más 20 de relevo </w:t>
      </w:r>
      <w:r w:rsidR="00704142">
        <w:t>aproximadamente</w:t>
      </w:r>
      <w:r w:rsidRPr="00A224D1">
        <w:t>. Esto es un promedio diario de 43 carrotanques.</w:t>
      </w:r>
    </w:p>
    <w:sectPr w:rsidR="00A224D1" w:rsidRPr="00A224D1">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00109" w14:textId="77777777" w:rsidR="00424E97" w:rsidRDefault="00424E97" w:rsidP="00AC7D6E">
      <w:pPr>
        <w:spacing w:after="0" w:line="240" w:lineRule="auto"/>
      </w:pPr>
      <w:r>
        <w:separator/>
      </w:r>
    </w:p>
  </w:endnote>
  <w:endnote w:type="continuationSeparator" w:id="0">
    <w:p w14:paraId="169700E9" w14:textId="77777777" w:rsidR="00424E97" w:rsidRDefault="00424E97" w:rsidP="00AC7D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8111267"/>
      <w:docPartObj>
        <w:docPartGallery w:val="Page Numbers (Bottom of Page)"/>
        <w:docPartUnique/>
      </w:docPartObj>
    </w:sdtPr>
    <w:sdtContent>
      <w:p w14:paraId="1423568F" w14:textId="197FF4EF" w:rsidR="00AC7D6E" w:rsidRDefault="00AC7D6E">
        <w:pPr>
          <w:pStyle w:val="Piedepgina"/>
          <w:jc w:val="right"/>
        </w:pPr>
        <w:r>
          <w:fldChar w:fldCharType="begin"/>
        </w:r>
        <w:r>
          <w:instrText>PAGE   \* MERGEFORMAT</w:instrText>
        </w:r>
        <w:r>
          <w:fldChar w:fldCharType="separate"/>
        </w:r>
        <w:r>
          <w:rPr>
            <w:lang w:val="es-ES"/>
          </w:rPr>
          <w:t>2</w:t>
        </w:r>
        <w:r>
          <w:fldChar w:fldCharType="end"/>
        </w:r>
      </w:p>
    </w:sdtContent>
  </w:sdt>
  <w:p w14:paraId="367D0CC1" w14:textId="77777777" w:rsidR="00AC7D6E" w:rsidRDefault="00AC7D6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6E3C8" w14:textId="77777777" w:rsidR="00424E97" w:rsidRDefault="00424E97" w:rsidP="00AC7D6E">
      <w:pPr>
        <w:spacing w:after="0" w:line="240" w:lineRule="auto"/>
      </w:pPr>
      <w:r>
        <w:separator/>
      </w:r>
    </w:p>
  </w:footnote>
  <w:footnote w:type="continuationSeparator" w:id="0">
    <w:p w14:paraId="43F98A52" w14:textId="77777777" w:rsidR="00424E97" w:rsidRDefault="00424E97" w:rsidP="00AC7D6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4B5"/>
    <w:rsid w:val="00015559"/>
    <w:rsid w:val="00034BF1"/>
    <w:rsid w:val="000964B5"/>
    <w:rsid w:val="000A4461"/>
    <w:rsid w:val="000B7B77"/>
    <w:rsid w:val="000E316F"/>
    <w:rsid w:val="00100A03"/>
    <w:rsid w:val="001024F3"/>
    <w:rsid w:val="00125F77"/>
    <w:rsid w:val="00137CC9"/>
    <w:rsid w:val="00155714"/>
    <w:rsid w:val="00165403"/>
    <w:rsid w:val="0027149F"/>
    <w:rsid w:val="00326FAD"/>
    <w:rsid w:val="003C00EB"/>
    <w:rsid w:val="003F2B72"/>
    <w:rsid w:val="00424E97"/>
    <w:rsid w:val="004A5BEC"/>
    <w:rsid w:val="004B4989"/>
    <w:rsid w:val="004B5583"/>
    <w:rsid w:val="00552173"/>
    <w:rsid w:val="00566D1B"/>
    <w:rsid w:val="005C2D87"/>
    <w:rsid w:val="005C368F"/>
    <w:rsid w:val="005D5D45"/>
    <w:rsid w:val="00665BF4"/>
    <w:rsid w:val="00693E31"/>
    <w:rsid w:val="006C0218"/>
    <w:rsid w:val="006F4B85"/>
    <w:rsid w:val="00704142"/>
    <w:rsid w:val="007217FD"/>
    <w:rsid w:val="007251BA"/>
    <w:rsid w:val="007459BD"/>
    <w:rsid w:val="00745D8E"/>
    <w:rsid w:val="007630C9"/>
    <w:rsid w:val="00796E63"/>
    <w:rsid w:val="007D22DE"/>
    <w:rsid w:val="007F7687"/>
    <w:rsid w:val="00831D77"/>
    <w:rsid w:val="00884650"/>
    <w:rsid w:val="008A120E"/>
    <w:rsid w:val="009119D7"/>
    <w:rsid w:val="009510C3"/>
    <w:rsid w:val="009644BE"/>
    <w:rsid w:val="009A18B8"/>
    <w:rsid w:val="009A3E9A"/>
    <w:rsid w:val="009D261F"/>
    <w:rsid w:val="00A224D1"/>
    <w:rsid w:val="00A369C9"/>
    <w:rsid w:val="00A77C6E"/>
    <w:rsid w:val="00AB1CE7"/>
    <w:rsid w:val="00AC7D6E"/>
    <w:rsid w:val="00AD6CAC"/>
    <w:rsid w:val="00B31341"/>
    <w:rsid w:val="00BE239D"/>
    <w:rsid w:val="00BE5220"/>
    <w:rsid w:val="00C57E3C"/>
    <w:rsid w:val="00C749C3"/>
    <w:rsid w:val="00CA4299"/>
    <w:rsid w:val="00D058EC"/>
    <w:rsid w:val="00D3017F"/>
    <w:rsid w:val="00D378F1"/>
    <w:rsid w:val="00D4230B"/>
    <w:rsid w:val="00D73BEA"/>
    <w:rsid w:val="00DB3BA4"/>
    <w:rsid w:val="00E24A8F"/>
    <w:rsid w:val="00E328C5"/>
    <w:rsid w:val="00E50A5B"/>
    <w:rsid w:val="00E6595C"/>
    <w:rsid w:val="00E768A9"/>
    <w:rsid w:val="00E77497"/>
    <w:rsid w:val="00EA07EB"/>
    <w:rsid w:val="00EA7026"/>
    <w:rsid w:val="00ED2A7F"/>
    <w:rsid w:val="00F50818"/>
    <w:rsid w:val="00F77099"/>
    <w:rsid w:val="00FC3E9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7C54C"/>
  <w15:chartTrackingRefBased/>
  <w15:docId w15:val="{D329D893-8F00-4E6E-8C80-9133B301A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0964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0964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0964B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0964B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0964B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0964B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964B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964B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964B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964B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0964B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0964B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964B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0964B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0964B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964B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964B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964B5"/>
    <w:rPr>
      <w:rFonts w:eastAsiaTheme="majorEastAsia" w:cstheme="majorBidi"/>
      <w:color w:val="272727" w:themeColor="text1" w:themeTint="D8"/>
    </w:rPr>
  </w:style>
  <w:style w:type="paragraph" w:styleId="Ttulo">
    <w:name w:val="Title"/>
    <w:basedOn w:val="Normal"/>
    <w:next w:val="Normal"/>
    <w:link w:val="TtuloCar"/>
    <w:uiPriority w:val="10"/>
    <w:qFormat/>
    <w:rsid w:val="000964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964B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964B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964B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964B5"/>
    <w:pPr>
      <w:spacing w:before="160"/>
      <w:jc w:val="center"/>
    </w:pPr>
    <w:rPr>
      <w:i/>
      <w:iCs/>
      <w:color w:val="404040" w:themeColor="text1" w:themeTint="BF"/>
    </w:rPr>
  </w:style>
  <w:style w:type="character" w:customStyle="1" w:styleId="CitaCar">
    <w:name w:val="Cita Car"/>
    <w:basedOn w:val="Fuentedeprrafopredeter"/>
    <w:link w:val="Cita"/>
    <w:uiPriority w:val="29"/>
    <w:rsid w:val="000964B5"/>
    <w:rPr>
      <w:i/>
      <w:iCs/>
      <w:color w:val="404040" w:themeColor="text1" w:themeTint="BF"/>
    </w:rPr>
  </w:style>
  <w:style w:type="paragraph" w:styleId="Prrafodelista">
    <w:name w:val="List Paragraph"/>
    <w:basedOn w:val="Normal"/>
    <w:uiPriority w:val="34"/>
    <w:qFormat/>
    <w:rsid w:val="000964B5"/>
    <w:pPr>
      <w:ind w:left="720"/>
      <w:contextualSpacing/>
    </w:pPr>
  </w:style>
  <w:style w:type="character" w:styleId="nfasisintenso">
    <w:name w:val="Intense Emphasis"/>
    <w:basedOn w:val="Fuentedeprrafopredeter"/>
    <w:uiPriority w:val="21"/>
    <w:qFormat/>
    <w:rsid w:val="000964B5"/>
    <w:rPr>
      <w:i/>
      <w:iCs/>
      <w:color w:val="0F4761" w:themeColor="accent1" w:themeShade="BF"/>
    </w:rPr>
  </w:style>
  <w:style w:type="paragraph" w:styleId="Citadestacada">
    <w:name w:val="Intense Quote"/>
    <w:basedOn w:val="Normal"/>
    <w:next w:val="Normal"/>
    <w:link w:val="CitadestacadaCar"/>
    <w:uiPriority w:val="30"/>
    <w:qFormat/>
    <w:rsid w:val="000964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0964B5"/>
    <w:rPr>
      <w:i/>
      <w:iCs/>
      <w:color w:val="0F4761" w:themeColor="accent1" w:themeShade="BF"/>
    </w:rPr>
  </w:style>
  <w:style w:type="character" w:styleId="Referenciaintensa">
    <w:name w:val="Intense Reference"/>
    <w:basedOn w:val="Fuentedeprrafopredeter"/>
    <w:uiPriority w:val="32"/>
    <w:qFormat/>
    <w:rsid w:val="000964B5"/>
    <w:rPr>
      <w:b/>
      <w:bCs/>
      <w:smallCaps/>
      <w:color w:val="0F4761" w:themeColor="accent1" w:themeShade="BF"/>
      <w:spacing w:val="5"/>
    </w:rPr>
  </w:style>
  <w:style w:type="paragraph" w:styleId="Encabezado">
    <w:name w:val="header"/>
    <w:basedOn w:val="Normal"/>
    <w:link w:val="EncabezadoCar"/>
    <w:uiPriority w:val="99"/>
    <w:unhideWhenUsed/>
    <w:rsid w:val="00AC7D6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C7D6E"/>
  </w:style>
  <w:style w:type="paragraph" w:styleId="Piedepgina">
    <w:name w:val="footer"/>
    <w:basedOn w:val="Normal"/>
    <w:link w:val="PiedepginaCar"/>
    <w:uiPriority w:val="99"/>
    <w:unhideWhenUsed/>
    <w:rsid w:val="00AC7D6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C7D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F7498-A703-4FEA-939B-8CF1C00BB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3</Pages>
  <Words>608</Words>
  <Characters>3350</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R. Gaviria Araque</dc:creator>
  <cp:keywords/>
  <dc:description/>
  <cp:lastModifiedBy>Cristian R. Gaviria Araque</cp:lastModifiedBy>
  <cp:revision>68</cp:revision>
  <dcterms:created xsi:type="dcterms:W3CDTF">2026-04-09T17:33:00Z</dcterms:created>
  <dcterms:modified xsi:type="dcterms:W3CDTF">2026-04-15T23:16:00Z</dcterms:modified>
</cp:coreProperties>
</file>